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2E" w:rsidRDefault="00E9362E" w:rsidP="0023511A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indows\Pictures\2019-11-12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2E" w:rsidRDefault="00E9362E" w:rsidP="0023511A">
      <w:pPr>
        <w:pStyle w:val="Default"/>
        <w:jc w:val="both"/>
        <w:rPr>
          <w:sz w:val="28"/>
          <w:szCs w:val="28"/>
        </w:rPr>
      </w:pPr>
    </w:p>
    <w:p w:rsidR="00E9362E" w:rsidRDefault="00E9362E" w:rsidP="0023511A">
      <w:pPr>
        <w:pStyle w:val="Default"/>
        <w:jc w:val="both"/>
        <w:rPr>
          <w:sz w:val="28"/>
          <w:szCs w:val="28"/>
        </w:rPr>
      </w:pPr>
    </w:p>
    <w:p w:rsidR="00E9362E" w:rsidRDefault="00E9362E" w:rsidP="0023511A">
      <w:pPr>
        <w:pStyle w:val="Default"/>
        <w:jc w:val="both"/>
        <w:rPr>
          <w:sz w:val="28"/>
          <w:szCs w:val="28"/>
        </w:rPr>
      </w:pPr>
    </w:p>
    <w:p w:rsidR="00E9362E" w:rsidRDefault="00E9362E" w:rsidP="0023511A">
      <w:pPr>
        <w:pStyle w:val="Default"/>
        <w:jc w:val="both"/>
        <w:rPr>
          <w:sz w:val="28"/>
          <w:szCs w:val="28"/>
        </w:rPr>
      </w:pPr>
    </w:p>
    <w:p w:rsidR="00E9362E" w:rsidRDefault="00E9362E" w:rsidP="0023511A">
      <w:pPr>
        <w:pStyle w:val="Default"/>
        <w:jc w:val="both"/>
        <w:rPr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sz w:val="28"/>
          <w:szCs w:val="28"/>
        </w:rPr>
        <w:lastRenderedPageBreak/>
        <w:t>Правовой основой</w:t>
      </w:r>
      <w:r w:rsidRPr="0023511A">
        <w:rPr>
          <w:bCs/>
          <w:color w:val="FF0000"/>
          <w:sz w:val="28"/>
          <w:szCs w:val="28"/>
        </w:rPr>
        <w:t xml:space="preserve"> </w:t>
      </w:r>
      <w:r w:rsidRPr="0023511A">
        <w:rPr>
          <w:bCs/>
          <w:color w:val="auto"/>
          <w:sz w:val="28"/>
          <w:szCs w:val="28"/>
        </w:rPr>
        <w:t xml:space="preserve">антикоррупционной  политики являются: </w:t>
      </w:r>
      <w:r w:rsidRPr="0023511A">
        <w:rPr>
          <w:bCs/>
          <w:sz w:val="28"/>
          <w:szCs w:val="28"/>
        </w:rPr>
        <w:t xml:space="preserve"> </w:t>
      </w:r>
      <w:proofErr w:type="gramStart"/>
      <w:r w:rsidRPr="0023511A">
        <w:rPr>
          <w:bCs/>
          <w:sz w:val="28"/>
          <w:szCs w:val="28"/>
        </w:rPr>
        <w:t>Указ Президента РФ от 13.04.2010 № 460 «Об утверждении Национальной стратегии противодействия коррупции»,  Указ Президента РФ от 02.04.2013 № 309 «О мерах по реализации отдельных положений Федерального закона от 25.12.2008 № 273-ФЗ», Методические рекомендации по разработке и принятию организациями мер по предупреждению и противодействию коррупции от 08.11.2013 , федеральный закон от 5.04.2013г. № 44-ФЗ "О контрактной системе в сфере закупок товаров, работ,</w:t>
      </w:r>
      <w:r w:rsidRPr="0023511A">
        <w:rPr>
          <w:b/>
          <w:bCs/>
          <w:sz w:val="28"/>
          <w:szCs w:val="28"/>
        </w:rPr>
        <w:t xml:space="preserve"> </w:t>
      </w:r>
      <w:r w:rsidRPr="0023511A">
        <w:rPr>
          <w:bCs/>
          <w:sz w:val="28"/>
          <w:szCs w:val="28"/>
        </w:rPr>
        <w:t>услуг для</w:t>
      </w:r>
      <w:proofErr w:type="gramEnd"/>
      <w:r w:rsidRPr="0023511A">
        <w:rPr>
          <w:bCs/>
          <w:sz w:val="28"/>
          <w:szCs w:val="28"/>
        </w:rPr>
        <w:t xml:space="preserve"> обеспечения государственных и муниципальных нужд",</w:t>
      </w:r>
      <w:r w:rsidRPr="0023511A">
        <w:rPr>
          <w:b/>
          <w:bCs/>
          <w:sz w:val="28"/>
          <w:szCs w:val="28"/>
        </w:rPr>
        <w:t xml:space="preserve"> </w:t>
      </w:r>
      <w:r w:rsidRPr="0023511A">
        <w:rPr>
          <w:bCs/>
          <w:sz w:val="28"/>
          <w:szCs w:val="28"/>
        </w:rPr>
        <w:t>методические рекомендации по разработке и принятию организациями мер по предупреждению и противодействию коррупции от 08.11.2013,  муниципальные нормативные документы, Устав и другие локальные нормативные акты ДОУ.</w:t>
      </w:r>
    </w:p>
    <w:p w:rsidR="0023511A" w:rsidRPr="0023511A" w:rsidRDefault="0023511A" w:rsidP="0023511A">
      <w:pPr>
        <w:pStyle w:val="Default"/>
        <w:ind w:firstLine="708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В соответствии со ст.13.3  Федерального закона № 273-ФЗ меры по предупреждению коррупции, принимаемые в учреждении, могут включать: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1) определение  должностных лиц, ответственных за профилактику коррупционных и иных правонарушений;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2) сотрудничество учреждения с правоохранительными органами;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4) принятие кодекса этики и служебного поведения работников учреждения;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5) предотвращение и урегулирование конфликта интересов;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2. Используемые в антикоррупционной политике понятия и определения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proofErr w:type="gramStart"/>
      <w:r w:rsidRPr="0023511A">
        <w:rPr>
          <w:b/>
          <w:bCs/>
          <w:sz w:val="28"/>
          <w:szCs w:val="28"/>
        </w:rPr>
        <w:t>Коррупция</w:t>
      </w:r>
      <w:r w:rsidRPr="0023511A">
        <w:rPr>
          <w:bCs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3511A">
        <w:rPr>
          <w:bCs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3511A">
          <w:rPr>
            <w:bCs/>
            <w:sz w:val="28"/>
            <w:szCs w:val="28"/>
          </w:rPr>
          <w:t>2008 г</w:t>
        </w:r>
      </w:smartTag>
      <w:r w:rsidRPr="0023511A">
        <w:rPr>
          <w:bCs/>
          <w:sz w:val="28"/>
          <w:szCs w:val="28"/>
        </w:rPr>
        <w:t>. № 273-ФЗ «О противодействии коррупции»).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Противодействие коррупции</w:t>
      </w:r>
      <w:r w:rsidRPr="0023511A">
        <w:rPr>
          <w:bCs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3511A">
          <w:rPr>
            <w:bCs/>
            <w:sz w:val="28"/>
            <w:szCs w:val="28"/>
          </w:rPr>
          <w:t>2008 г</w:t>
        </w:r>
      </w:smartTag>
      <w:r w:rsidRPr="0023511A">
        <w:rPr>
          <w:bCs/>
          <w:sz w:val="28"/>
          <w:szCs w:val="28"/>
        </w:rPr>
        <w:t>. № 273-ФЗ «О противодействии коррупции»):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</w:t>
      </w:r>
      <w:r w:rsidRPr="0023511A">
        <w:rPr>
          <w:b/>
          <w:bCs/>
          <w:sz w:val="28"/>
          <w:szCs w:val="28"/>
        </w:rPr>
        <w:t xml:space="preserve"> </w:t>
      </w:r>
      <w:r w:rsidRPr="0023511A">
        <w:rPr>
          <w:bCs/>
          <w:sz w:val="28"/>
          <w:szCs w:val="28"/>
        </w:rPr>
        <w:t>коррупции);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Организация</w:t>
      </w:r>
      <w:r w:rsidRPr="0023511A">
        <w:rPr>
          <w:bCs/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Контрагент</w:t>
      </w:r>
      <w:r w:rsidRPr="0023511A">
        <w:rPr>
          <w:bCs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Взятка</w:t>
      </w:r>
      <w:r w:rsidRPr="0023511A">
        <w:rPr>
          <w:bCs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Коммерческий подкуп</w:t>
      </w:r>
      <w:r w:rsidRPr="0023511A">
        <w:rPr>
          <w:bCs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Конфликт интересов</w:t>
      </w:r>
      <w:r w:rsidRPr="0023511A">
        <w:rPr>
          <w:bCs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Личная заинтересованность работника (представителя организации)</w:t>
      </w:r>
      <w:r w:rsidRPr="0023511A">
        <w:rPr>
          <w:bCs/>
          <w:sz w:val="28"/>
          <w:szCs w:val="28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3.Основные принципы антикоррупционной  деятельности учреждения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lastRenderedPageBreak/>
        <w:t>3.1. Системы мер противодействия коррупции в ДОУ основывается на следующих ключевых принципах: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соответствия политики ДОУ действующему законодательству и общепринятым нормам.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Соответствие реализуемых антикоррупционных</w:t>
      </w:r>
      <w:r w:rsidRPr="0023511A">
        <w:rPr>
          <w:b/>
          <w:bCs/>
          <w:sz w:val="28"/>
          <w:szCs w:val="28"/>
        </w:rPr>
        <w:t xml:space="preserve"> </w:t>
      </w:r>
      <w:r w:rsidRPr="0023511A">
        <w:rPr>
          <w:bCs/>
          <w:sz w:val="28"/>
          <w:szCs w:val="28"/>
        </w:rPr>
        <w:t>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личного примера руководителя и его заместителей. Ключевая роль руководителя  его заместителей и ответственного за противодействие коррупции состоит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3511A">
        <w:rPr>
          <w:bCs/>
          <w:sz w:val="28"/>
          <w:szCs w:val="28"/>
        </w:rPr>
        <w:t>Принцип соразмерности антикоррупционных процедур риску коррупции.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 ДОУ коррупционных рисков.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эффективности  антикоррупционных процедур.     Применение в ДОУ 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ответственности и неотвратимости наказания.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внутриорганизационной антикоррупционной политики.</w:t>
      </w:r>
    </w:p>
    <w:p w:rsidR="0023511A" w:rsidRPr="0023511A" w:rsidRDefault="0023511A" w:rsidP="0023511A">
      <w:pPr>
        <w:pStyle w:val="Default"/>
        <w:spacing w:after="240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открытости.   Информирование контрагентов, партнеров и общественности о принятых в ДОУ  антикоррупционных стандартах ведения деятельности.</w:t>
      </w:r>
    </w:p>
    <w:p w:rsid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Принцип постоянного контроля и регулярного мониторинга.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lastRenderedPageBreak/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4. Область применения антикоррупционной политики и круг лиц, попадающих под ее действие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4.1. Основным кругом лиц, попадающих под действие антикоррупционной политики, являются работники учреждения, находящиеся с ним в трудовых отношениях, вне зависимости от занимаемой должности и выполняемых функций. Требования антикоррупционной </w:t>
      </w:r>
      <w:r w:rsidRPr="0023511A">
        <w:rPr>
          <w:bCs/>
          <w:color w:val="auto"/>
          <w:sz w:val="28"/>
          <w:szCs w:val="28"/>
        </w:rPr>
        <w:t>политики распространяются  на лица, выполняющие для ДОУ</w:t>
      </w:r>
      <w:r w:rsidRPr="0023511A">
        <w:rPr>
          <w:bCs/>
          <w:sz w:val="28"/>
          <w:szCs w:val="28"/>
        </w:rPr>
        <w:t xml:space="preserve"> работы или предоставляющие услуги на основе гражданско-правовых договоров.</w:t>
      </w:r>
    </w:p>
    <w:p w:rsidR="0023511A" w:rsidRPr="0023511A" w:rsidRDefault="0023511A" w:rsidP="0023511A">
      <w:pPr>
        <w:pStyle w:val="Default"/>
        <w:jc w:val="both"/>
        <w:rPr>
          <w:bCs/>
          <w:color w:val="FF0000"/>
          <w:sz w:val="28"/>
          <w:szCs w:val="28"/>
        </w:rPr>
      </w:pPr>
      <w:r w:rsidRPr="0023511A">
        <w:rPr>
          <w:bCs/>
          <w:color w:val="FF0000"/>
          <w:sz w:val="28"/>
          <w:szCs w:val="28"/>
        </w:rPr>
        <w:t xml:space="preserve"> </w:t>
      </w: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5.  Определение должностных лиц ДОУ, ответственных за реализацию антикоррупционной  политики</w:t>
      </w: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1. В учреждении 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 председатель профсоюзного комитета.</w:t>
      </w:r>
    </w:p>
    <w:p w:rsidR="0023511A" w:rsidRPr="0023511A" w:rsidRDefault="0023511A" w:rsidP="0023511A">
      <w:pPr>
        <w:pStyle w:val="Default"/>
        <w:jc w:val="both"/>
        <w:rPr>
          <w:bCs/>
          <w:color w:val="FF0000"/>
          <w:sz w:val="28"/>
          <w:szCs w:val="28"/>
        </w:rPr>
      </w:pPr>
      <w:r w:rsidRPr="0023511A">
        <w:rPr>
          <w:bCs/>
          <w:sz w:val="28"/>
          <w:szCs w:val="28"/>
        </w:rPr>
        <w:t xml:space="preserve">1.1. </w:t>
      </w:r>
      <w:r w:rsidRPr="0023511A">
        <w:rPr>
          <w:bCs/>
          <w:color w:val="auto"/>
          <w:sz w:val="28"/>
          <w:szCs w:val="28"/>
        </w:rPr>
        <w:t>Обязанности и полномочия  ответственного  в сфере противодействия коррупции</w:t>
      </w:r>
      <w:r w:rsidRPr="0023511A">
        <w:rPr>
          <w:bCs/>
          <w:color w:val="FF0000"/>
          <w:sz w:val="28"/>
          <w:szCs w:val="28"/>
        </w:rPr>
        <w:t xml:space="preserve"> </w:t>
      </w:r>
      <w:r w:rsidRPr="0023511A">
        <w:rPr>
          <w:bCs/>
          <w:sz w:val="28"/>
          <w:szCs w:val="28"/>
        </w:rPr>
        <w:t>включают:</w:t>
      </w:r>
    </w:p>
    <w:p w:rsidR="0023511A" w:rsidRPr="0023511A" w:rsidRDefault="0023511A" w:rsidP="0023511A">
      <w:pPr>
        <w:pStyle w:val="Style4"/>
        <w:widowControl/>
        <w:ind w:right="53"/>
        <w:jc w:val="both"/>
        <w:rPr>
          <w:bCs/>
          <w:color w:val="FF0000"/>
          <w:sz w:val="28"/>
          <w:szCs w:val="28"/>
        </w:rPr>
      </w:pPr>
      <w:r w:rsidRPr="0023511A">
        <w:rPr>
          <w:sz w:val="28"/>
          <w:szCs w:val="28"/>
        </w:rPr>
        <w:t>- разработку  локальных нормативных актов ДОУ, положений,  планов, направленных на реализацию мер по предупреждению коррупции;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 - проведение контрольных мероприятий, направленных на выявление коррупционных правонарушений работниками учреждения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организацию проведения оценки коррупционных рисков;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 организация заполнения и рассмотрения заявлений о конфликте интересов;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lastRenderedPageBreak/>
        <w:t xml:space="preserve"> - проведение оценки результатов антикоррупционной работы и подготовка соответствующих отчетных материалов Учредителю.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 xml:space="preserve">6. Определение и закрепление обязанностей работников учреждения, связанных с предупреждением и противодействием коррупции 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6.1. Обязанности работников учреждения в связи с предупреждением и противодействием коррупции являются общими для всех сотрудников детского сада. И включают в себя следующие требования: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а)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б)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учреждения;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в) незамедлительно информировать заведующего ДОУ и ответственное лицо за противодействие коррупции, о случаях склонения работника к совершению коррупционных правонарушений;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г) незамедлительно информировать заведующего ДОУ, ответственное лицо за противодействие коррупции о ставшей известной 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д)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интересов.</w:t>
      </w:r>
    </w:p>
    <w:p w:rsidR="0023511A" w:rsidRPr="00F773B3" w:rsidRDefault="0023511A" w:rsidP="0023511A">
      <w:pPr>
        <w:pStyle w:val="Default"/>
        <w:jc w:val="both"/>
        <w:rPr>
          <w:bCs/>
          <w:color w:val="FF0000"/>
          <w:sz w:val="28"/>
          <w:szCs w:val="28"/>
        </w:rPr>
      </w:pPr>
      <w:r w:rsidRPr="0023511A">
        <w:rPr>
          <w:bCs/>
          <w:color w:val="auto"/>
          <w:sz w:val="28"/>
          <w:szCs w:val="28"/>
        </w:rPr>
        <w:t xml:space="preserve">е) </w:t>
      </w:r>
      <w:r w:rsidRPr="0023511A">
        <w:rPr>
          <w:bCs/>
          <w:sz w:val="28"/>
          <w:szCs w:val="28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 ДОУ, могут  включаться права и обязанности работника и работодателя, установленные  данным положением об антикоррупционной политике. При условии  соглашения закрепления обязанностей работника </w:t>
      </w:r>
      <w:r w:rsidRPr="0023511A">
        <w:rPr>
          <w:bCs/>
          <w:color w:val="auto"/>
          <w:sz w:val="28"/>
          <w:szCs w:val="28"/>
        </w:rPr>
        <w:t>по предупреждению и противодействию коррупции</w:t>
      </w:r>
      <w:r w:rsidRPr="0023511A">
        <w:rPr>
          <w:bCs/>
          <w:sz w:val="28"/>
          <w:szCs w:val="28"/>
        </w:rPr>
        <w:t xml:space="preserve">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обязанностей связанных с предупреждением и противодействием коррупции </w:t>
      </w:r>
    </w:p>
    <w:p w:rsidR="009F4B97" w:rsidRDefault="009F4B97" w:rsidP="0023511A">
      <w:pPr>
        <w:pStyle w:val="Default"/>
        <w:jc w:val="both"/>
        <w:rPr>
          <w:b/>
          <w:bCs/>
          <w:sz w:val="28"/>
          <w:szCs w:val="28"/>
        </w:rPr>
      </w:pPr>
    </w:p>
    <w:p w:rsidR="0023511A" w:rsidRPr="00F773B3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F773B3">
        <w:rPr>
          <w:b/>
          <w:bCs/>
          <w:sz w:val="28"/>
          <w:szCs w:val="28"/>
        </w:rPr>
        <w:t>7. Установление перечня реализуемых  ДОУ антикоррупционных мероприятий, стандартов и процедур и  порядок их выполнения (применения)</w:t>
      </w:r>
    </w:p>
    <w:p w:rsid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9F4B97" w:rsidRPr="0023511A" w:rsidRDefault="009F4B97" w:rsidP="0023511A">
      <w:pPr>
        <w:pStyle w:val="Default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3511A" w:rsidRPr="0023511A" w:rsidTr="0081392E"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3511A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23511A" w:rsidRPr="0023511A" w:rsidTr="0081392E">
        <w:trPr>
          <w:trHeight w:val="3720"/>
        </w:trPr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Нормативное обеспечение, закрепление стандартов поведения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Разработка и принятие кодекса этики и служебного поведения работников учреждения;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 xml:space="preserve">Разработка и внедрение положения о конфликте интересов; 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Введение в договоры, связанные с хозяйственной деятельностью ДОУ, стандартной антикоррупционной оговорки;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Введение антикоррупционных положений в трудовые договора работников;</w:t>
            </w:r>
          </w:p>
        </w:tc>
      </w:tr>
      <w:tr w:rsidR="0023511A" w:rsidRPr="0023511A" w:rsidTr="0081392E">
        <w:trPr>
          <w:trHeight w:val="5115"/>
        </w:trPr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Разработка  и введение специальных антикоррупционных процедур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 порядка рассмотрения таких сообщений, включая создание доступных каналов передачи обозначенной информации </w:t>
            </w:r>
            <w:r w:rsidRPr="0023511A">
              <w:rPr>
                <w:bCs/>
                <w:sz w:val="28"/>
                <w:szCs w:val="28"/>
              </w:rPr>
              <w:lastRenderedPageBreak/>
              <w:t>(механизмов «обратной связи», телефона доверия и т. п.);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санкций.</w:t>
            </w:r>
          </w:p>
        </w:tc>
      </w:tr>
      <w:tr w:rsidR="0023511A" w:rsidRPr="0023511A" w:rsidTr="0081392E">
        <w:trPr>
          <w:trHeight w:val="4475"/>
        </w:trPr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lastRenderedPageBreak/>
              <w:t>Обучение и информирование работников</w:t>
            </w: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Проведение обучающих мероприятий по вопросам профилактики и противодействия коррупции;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 и процедур</w:t>
            </w:r>
          </w:p>
        </w:tc>
      </w:tr>
      <w:tr w:rsidR="0023511A" w:rsidRPr="0023511A" w:rsidTr="0081392E"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 xml:space="preserve">Осуществление регулярного контроля экономической </w:t>
            </w:r>
            <w:r w:rsidRPr="0023511A">
              <w:rPr>
                <w:bCs/>
                <w:sz w:val="28"/>
                <w:szCs w:val="28"/>
              </w:rPr>
              <w:lastRenderedPageBreak/>
              <w:t>обоснованности расходов в сферах с высоким коррупционным риском: благотворительные пожертвования, вознаграждения сотрудников;</w:t>
            </w:r>
          </w:p>
        </w:tc>
      </w:tr>
      <w:tr w:rsidR="0023511A" w:rsidRPr="0023511A" w:rsidTr="0081392E"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  <w:r w:rsidRPr="0023511A">
              <w:rPr>
                <w:bCs/>
                <w:sz w:val="28"/>
                <w:szCs w:val="28"/>
              </w:rPr>
              <w:tab/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Проведение регулярной оценки результатов работы по противодействию коррупции;</w:t>
            </w:r>
          </w:p>
          <w:p w:rsidR="0023511A" w:rsidRPr="0023511A" w:rsidRDefault="0023511A" w:rsidP="0023511A">
            <w:pPr>
              <w:pStyle w:val="Default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3511A">
              <w:rPr>
                <w:bCs/>
                <w:sz w:val="28"/>
                <w:szCs w:val="28"/>
              </w:rPr>
              <w:t>Подготовка и распространение</w:t>
            </w:r>
            <w:r w:rsidRPr="0023511A">
              <w:rPr>
                <w:b/>
                <w:bCs/>
                <w:sz w:val="28"/>
                <w:szCs w:val="28"/>
              </w:rPr>
              <w:t xml:space="preserve"> </w:t>
            </w:r>
            <w:r w:rsidRPr="0023511A">
              <w:rPr>
                <w:bCs/>
                <w:sz w:val="28"/>
                <w:szCs w:val="28"/>
              </w:rPr>
              <w:t>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В качестве   приложения к антикоррупционной политике в ДОУ ежегодно утверждается план реализации антикоррупционных мероприятий.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 </w:t>
      </w: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Оценка коррупционных рисков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Целью оценки коррупционных рисков является определение конкретных 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Оценка коррупционных рисков  проводится как на стадии разработки антикоррупционной политики, так и после ее утверждения на регулярной основе.  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    Порядок проведения оценки коррупционных рисков: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представить деятельность организации в виде отдельных  процессов, в каждом из которых выделить составные элементы;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выделить «критические точки» - для каждого  процесса и определить те элементы, при реализации которых наиболее вероятно возникновение коррупционных правонарушений.</w:t>
      </w:r>
    </w:p>
    <w:p w:rsidR="0023511A" w:rsidRPr="0023511A" w:rsidRDefault="009F4B97" w:rsidP="009F4B97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3511A" w:rsidRPr="0023511A">
        <w:rPr>
          <w:bCs/>
          <w:sz w:val="28"/>
          <w:szCs w:val="28"/>
        </w:rPr>
        <w:t xml:space="preserve">Разработать комплекс мер по устранению или минимизации коррупционных рисков.  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23511A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>8. Ответственность  сотрудников за несоблюдение требований антикоррупционной политики</w:t>
      </w:r>
    </w:p>
    <w:p w:rsidR="0023511A" w:rsidRPr="0023511A" w:rsidRDefault="0023511A" w:rsidP="0023511A">
      <w:pPr>
        <w:pStyle w:val="Default"/>
        <w:ind w:firstLine="708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lastRenderedPageBreak/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23511A" w:rsidRPr="0023511A" w:rsidRDefault="0023511A" w:rsidP="0023511A">
      <w:pPr>
        <w:pStyle w:val="Default"/>
        <w:ind w:firstLine="708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>С целью регулирования и предотвращения конфликта интересов работников в учреждении следует  принять Положение о конфликте интересов.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23511A" w:rsidRPr="0023511A" w:rsidRDefault="0023511A" w:rsidP="0023511A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23511A">
        <w:rPr>
          <w:bCs/>
          <w:color w:val="auto"/>
          <w:sz w:val="28"/>
          <w:szCs w:val="28"/>
        </w:rPr>
        <w:t xml:space="preserve">Ответственными за прием сведений о возникающих (имеющихся) конфликтах интересов  являются заведующий, члены антикоррупционной комиссии.  </w:t>
      </w:r>
    </w:p>
    <w:p w:rsidR="0023511A" w:rsidRPr="0023511A" w:rsidRDefault="0023511A" w:rsidP="0023511A">
      <w:pPr>
        <w:pStyle w:val="Default"/>
        <w:ind w:firstLine="708"/>
        <w:jc w:val="both"/>
        <w:rPr>
          <w:sz w:val="28"/>
          <w:szCs w:val="28"/>
        </w:rPr>
      </w:pPr>
      <w:r w:rsidRPr="0023511A">
        <w:rPr>
          <w:sz w:val="28"/>
          <w:szCs w:val="28"/>
        </w:rPr>
        <w:t xml:space="preserve">Система внутреннего контроля и аудита учреждения  способствует профилактике и выявлению коррупционных правонарушений в деятельности учреждения, </w:t>
      </w:r>
    </w:p>
    <w:p w:rsidR="0023511A" w:rsidRPr="0023511A" w:rsidRDefault="0023511A" w:rsidP="0023511A">
      <w:pPr>
        <w:pStyle w:val="Default"/>
        <w:ind w:firstLine="708"/>
        <w:jc w:val="both"/>
        <w:rPr>
          <w:sz w:val="28"/>
          <w:szCs w:val="28"/>
        </w:rPr>
      </w:pPr>
      <w:r w:rsidRPr="0023511A">
        <w:rPr>
          <w:sz w:val="28"/>
          <w:szCs w:val="28"/>
        </w:rPr>
        <w:t>Система внутреннего контроля и аудита  учитывает требования антикоррупционной политики, реализуемой учреждением, в том числе через контроль:</w:t>
      </w:r>
    </w:p>
    <w:p w:rsidR="0023511A" w:rsidRPr="00F773B3" w:rsidRDefault="009F4B97" w:rsidP="0023511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3511A" w:rsidRPr="0023511A">
        <w:rPr>
          <w:bCs/>
          <w:sz w:val="28"/>
          <w:szCs w:val="28"/>
        </w:rPr>
        <w:t>- проверки соблюдения порядка</w:t>
      </w:r>
      <w:r w:rsidR="0023511A" w:rsidRPr="0023511A">
        <w:rPr>
          <w:rStyle w:val="FontStyle26"/>
          <w:sz w:val="28"/>
          <w:szCs w:val="28"/>
        </w:rPr>
        <w:t xml:space="preserve"> </w:t>
      </w:r>
      <w:r w:rsidR="0023511A" w:rsidRPr="0023511A">
        <w:rPr>
          <w:rStyle w:val="FontStyle26"/>
          <w:b w:val="0"/>
          <w:sz w:val="28"/>
          <w:szCs w:val="28"/>
        </w:rPr>
        <w:t>привлечения внебюджетных средств</w:t>
      </w:r>
      <w:r w:rsidR="00F773B3">
        <w:rPr>
          <w:rStyle w:val="FontStyle26"/>
          <w:b w:val="0"/>
          <w:sz w:val="28"/>
          <w:szCs w:val="28"/>
        </w:rPr>
        <w:t xml:space="preserve"> </w:t>
      </w:r>
      <w:r w:rsidR="0023511A" w:rsidRPr="0023511A">
        <w:rPr>
          <w:rStyle w:val="FontStyle26"/>
          <w:b w:val="0"/>
          <w:sz w:val="28"/>
          <w:szCs w:val="28"/>
        </w:rPr>
        <w:t xml:space="preserve"> их расходования;</w:t>
      </w:r>
    </w:p>
    <w:p w:rsidR="0023511A" w:rsidRPr="0023511A" w:rsidRDefault="009F4B97" w:rsidP="0023511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3511A" w:rsidRPr="0023511A">
        <w:rPr>
          <w:bCs/>
          <w:sz w:val="28"/>
          <w:szCs w:val="28"/>
        </w:rPr>
        <w:t>-  документирования операций хозяйственной деятельности учреждения;</w:t>
      </w:r>
    </w:p>
    <w:p w:rsidR="0023511A" w:rsidRDefault="009F4B97" w:rsidP="0023511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3511A" w:rsidRPr="0023511A">
        <w:rPr>
          <w:bCs/>
          <w:sz w:val="28"/>
          <w:szCs w:val="28"/>
        </w:rPr>
        <w:t>- проверка экономической обоснован</w:t>
      </w:r>
      <w:r w:rsidR="00F773B3">
        <w:rPr>
          <w:bCs/>
          <w:sz w:val="28"/>
          <w:szCs w:val="28"/>
        </w:rPr>
        <w:t xml:space="preserve">ности осуществляемых операций в </w:t>
      </w:r>
      <w:r w:rsidR="0023511A" w:rsidRPr="0023511A">
        <w:rPr>
          <w:bCs/>
          <w:sz w:val="28"/>
          <w:szCs w:val="28"/>
        </w:rPr>
        <w:t>сферах коррупционного риска.</w:t>
      </w:r>
    </w:p>
    <w:p w:rsidR="009F4B97" w:rsidRPr="0023511A" w:rsidRDefault="009F4B97" w:rsidP="0023511A">
      <w:pPr>
        <w:pStyle w:val="Default"/>
        <w:jc w:val="both"/>
        <w:rPr>
          <w:bCs/>
          <w:sz w:val="28"/>
          <w:szCs w:val="28"/>
        </w:rPr>
      </w:pPr>
    </w:p>
    <w:p w:rsidR="0023511A" w:rsidRPr="009F4B97" w:rsidRDefault="0023511A" w:rsidP="0023511A">
      <w:pPr>
        <w:pStyle w:val="Default"/>
        <w:jc w:val="both"/>
        <w:rPr>
          <w:b/>
          <w:bCs/>
          <w:sz w:val="28"/>
          <w:szCs w:val="28"/>
        </w:rPr>
      </w:pPr>
      <w:r w:rsidRPr="0023511A">
        <w:rPr>
          <w:b/>
          <w:bCs/>
          <w:sz w:val="28"/>
          <w:szCs w:val="28"/>
        </w:rPr>
        <w:t xml:space="preserve">9. Порядок пересмотра и внесения изменений в антикоррупционную политику учреждения   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  <w:r w:rsidRPr="0023511A">
        <w:rPr>
          <w:bCs/>
          <w:sz w:val="28"/>
          <w:szCs w:val="28"/>
        </w:rPr>
        <w:t xml:space="preserve">     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вопросов антикоррупционной политики может осуществляться путем разработки дополнений и приложений к данному акту.</w:t>
      </w:r>
    </w:p>
    <w:p w:rsidR="0023511A" w:rsidRPr="0023511A" w:rsidRDefault="0023511A" w:rsidP="0023511A">
      <w:pPr>
        <w:pStyle w:val="Default"/>
        <w:jc w:val="both"/>
        <w:rPr>
          <w:bCs/>
          <w:sz w:val="28"/>
          <w:szCs w:val="28"/>
        </w:rPr>
      </w:pPr>
    </w:p>
    <w:p w:rsidR="009865A1" w:rsidRPr="0023511A" w:rsidRDefault="009865A1" w:rsidP="0023511A">
      <w:pPr>
        <w:jc w:val="both"/>
        <w:rPr>
          <w:rFonts w:ascii="Times New Roman" w:hAnsi="Times New Roman"/>
          <w:sz w:val="28"/>
          <w:szCs w:val="28"/>
        </w:rPr>
      </w:pPr>
    </w:p>
    <w:sectPr w:rsidR="009865A1" w:rsidRPr="0023511A" w:rsidSect="0098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1A"/>
    <w:rsid w:val="000A410E"/>
    <w:rsid w:val="0023511A"/>
    <w:rsid w:val="002F3E48"/>
    <w:rsid w:val="007A70DD"/>
    <w:rsid w:val="007C61F4"/>
    <w:rsid w:val="008D6565"/>
    <w:rsid w:val="009865A1"/>
    <w:rsid w:val="009F4B97"/>
    <w:rsid w:val="00BF64EA"/>
    <w:rsid w:val="00CC0BA2"/>
    <w:rsid w:val="00D77768"/>
    <w:rsid w:val="00DA6A9B"/>
    <w:rsid w:val="00E9362E"/>
    <w:rsid w:val="00F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35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23511A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35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23511A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cp:lastPrinted>2019-11-12T11:40:00Z</cp:lastPrinted>
  <dcterms:created xsi:type="dcterms:W3CDTF">2019-11-12T17:07:00Z</dcterms:created>
  <dcterms:modified xsi:type="dcterms:W3CDTF">2019-11-12T17:07:00Z</dcterms:modified>
</cp:coreProperties>
</file>